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6380"/>
      </w:tblGrid>
      <w:tr w:rsidR="00E77965" w14:paraId="53B92590" w14:textId="77777777" w:rsidTr="00B32E17">
        <w:trPr>
          <w:trHeight w:val="1584"/>
        </w:trPr>
        <w:tc>
          <w:tcPr>
            <w:tcW w:w="4410" w:type="dxa"/>
            <w:vAlign w:val="center"/>
          </w:tcPr>
          <w:p w14:paraId="52F57194" w14:textId="77777777" w:rsidR="00E77965" w:rsidRDefault="00E77965" w:rsidP="00B32E17">
            <w:pPr>
              <w:jc w:val="right"/>
              <w:rPr>
                <w:rFonts w:ascii="Gabriola" w:hAnsi="Gabriola" w:cstheme="majorHAnsi"/>
                <w:b/>
                <w:sz w:val="120"/>
                <w:szCs w:val="120"/>
              </w:rPr>
            </w:pPr>
            <w:r>
              <w:rPr>
                <w:rFonts w:ascii="Gabriola" w:hAnsi="Gabriola" w:cstheme="majorHAnsi"/>
                <w:b/>
                <w:noProof/>
                <w:sz w:val="120"/>
                <w:szCs w:val="120"/>
              </w:rPr>
              <w:drawing>
                <wp:inline distT="0" distB="0" distL="0" distR="0" wp14:anchorId="00E2D5B7" wp14:editId="218DD06C">
                  <wp:extent cx="1266825" cy="1276350"/>
                  <wp:effectExtent l="0" t="0" r="9525"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 on the square logo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6825" cy="1276350"/>
                          </a:xfrm>
                          <a:prstGeom prst="rect">
                            <a:avLst/>
                          </a:prstGeom>
                        </pic:spPr>
                      </pic:pic>
                    </a:graphicData>
                  </a:graphic>
                </wp:inline>
              </w:drawing>
            </w:r>
          </w:p>
        </w:tc>
        <w:tc>
          <w:tcPr>
            <w:tcW w:w="6380" w:type="dxa"/>
            <w:vAlign w:val="center"/>
          </w:tcPr>
          <w:p w14:paraId="2D132D2F" w14:textId="77777777" w:rsidR="00E77965" w:rsidRPr="00634D06" w:rsidRDefault="00E77965" w:rsidP="00B32E17">
            <w:pPr>
              <w:rPr>
                <w:rFonts w:ascii="Book Antiqua" w:hAnsi="Book Antiqua" w:cstheme="majorHAnsi"/>
                <w:b/>
                <w:sz w:val="72"/>
                <w:szCs w:val="72"/>
              </w:rPr>
            </w:pPr>
            <w:r w:rsidRPr="00634D06">
              <w:rPr>
                <w:rFonts w:ascii="Book Antiqua" w:hAnsi="Book Antiqua" w:cstheme="majorHAnsi"/>
                <w:b/>
                <w:sz w:val="72"/>
                <w:szCs w:val="72"/>
              </w:rPr>
              <w:t>O</w:t>
            </w:r>
            <w:r w:rsidRPr="00634D06">
              <w:rPr>
                <w:rFonts w:ascii="Book Antiqua" w:hAnsi="Book Antiqua"/>
                <w:sz w:val="72"/>
                <w:szCs w:val="72"/>
              </w:rPr>
              <w:t>n the Square</w:t>
            </w:r>
          </w:p>
        </w:tc>
      </w:tr>
    </w:tbl>
    <w:p w14:paraId="04E83004" w14:textId="668F6AB0" w:rsidR="006B005D" w:rsidRPr="00C5371E" w:rsidRDefault="006B005D" w:rsidP="006B005D">
      <w:pPr>
        <w:spacing w:after="0"/>
        <w:jc w:val="center"/>
        <w:rPr>
          <w:rFonts w:ascii="Century Gothic" w:hAnsi="Century Gothic" w:cstheme="majorHAnsi"/>
          <w:b/>
          <w:sz w:val="24"/>
          <w:szCs w:val="24"/>
        </w:rPr>
      </w:pPr>
      <w:r w:rsidRPr="00C5371E">
        <w:rPr>
          <w:rFonts w:ascii="Century Gothic" w:hAnsi="Century Gothic" w:cstheme="majorHAnsi"/>
          <w:b/>
          <w:sz w:val="24"/>
          <w:szCs w:val="24"/>
        </w:rPr>
        <w:t>October 12, 2019</w:t>
      </w:r>
    </w:p>
    <w:p w14:paraId="26FCC79E" w14:textId="1ADE4795" w:rsidR="00912431" w:rsidRPr="00C5371E" w:rsidRDefault="00912431" w:rsidP="006B005D">
      <w:pPr>
        <w:spacing w:after="0"/>
        <w:jc w:val="center"/>
        <w:rPr>
          <w:rFonts w:ascii="Century Gothic" w:hAnsi="Century Gothic" w:cstheme="majorHAnsi"/>
          <w:b/>
          <w:sz w:val="24"/>
          <w:szCs w:val="24"/>
        </w:rPr>
      </w:pPr>
      <w:r w:rsidRPr="00C5371E">
        <w:rPr>
          <w:rFonts w:ascii="Century Gothic" w:hAnsi="Century Gothic" w:cstheme="majorHAnsi"/>
          <w:b/>
          <w:sz w:val="24"/>
          <w:szCs w:val="24"/>
        </w:rPr>
        <w:t>10:00 a.m. – 4:00 p.m.</w:t>
      </w:r>
    </w:p>
    <w:p w14:paraId="588F0D30" w14:textId="6C40D5FE" w:rsidR="006B005D" w:rsidRPr="00C5371E" w:rsidRDefault="006B005D" w:rsidP="006B005D">
      <w:pPr>
        <w:spacing w:after="0"/>
        <w:jc w:val="center"/>
        <w:rPr>
          <w:rFonts w:ascii="Century Gothic" w:hAnsi="Century Gothic" w:cstheme="majorHAnsi"/>
          <w:sz w:val="24"/>
          <w:szCs w:val="24"/>
        </w:rPr>
      </w:pPr>
      <w:r w:rsidRPr="00C5371E">
        <w:rPr>
          <w:rFonts w:ascii="Century Gothic" w:hAnsi="Century Gothic" w:cstheme="majorHAnsi"/>
          <w:sz w:val="24"/>
          <w:szCs w:val="24"/>
        </w:rPr>
        <w:t>Greene County Courtyard</w:t>
      </w:r>
      <w:r w:rsidR="00CF3260">
        <w:rPr>
          <w:rFonts w:ascii="Century Gothic" w:hAnsi="Century Gothic" w:cstheme="majorHAnsi"/>
          <w:sz w:val="24"/>
          <w:szCs w:val="24"/>
        </w:rPr>
        <w:t>, Jefferson, Iowa</w:t>
      </w:r>
    </w:p>
    <w:p w14:paraId="6112E3FF" w14:textId="2CC199C2" w:rsidR="00CF3260" w:rsidRDefault="006B005D" w:rsidP="006B005D">
      <w:pPr>
        <w:spacing w:after="0"/>
        <w:jc w:val="center"/>
        <w:rPr>
          <w:rFonts w:ascii="Century Gothic" w:hAnsi="Century Gothic" w:cstheme="majorHAnsi"/>
          <w:sz w:val="24"/>
          <w:szCs w:val="24"/>
        </w:rPr>
      </w:pPr>
      <w:r w:rsidRPr="00C5371E">
        <w:rPr>
          <w:rFonts w:ascii="Century Gothic" w:hAnsi="Century Gothic" w:cstheme="majorHAnsi"/>
          <w:sz w:val="24"/>
          <w:szCs w:val="24"/>
        </w:rPr>
        <w:t>Sponsored by Jefferson Matters</w:t>
      </w:r>
      <w:r w:rsidR="00216A21" w:rsidRPr="00C5371E">
        <w:rPr>
          <w:rFonts w:ascii="Century Gothic" w:hAnsi="Century Gothic" w:cstheme="majorHAnsi"/>
          <w:sz w:val="24"/>
          <w:szCs w:val="24"/>
        </w:rPr>
        <w:t>:</w:t>
      </w:r>
      <w:r w:rsidRPr="00C5371E">
        <w:rPr>
          <w:rFonts w:ascii="Century Gothic" w:hAnsi="Century Gothic" w:cstheme="majorHAnsi"/>
          <w:sz w:val="24"/>
          <w:szCs w:val="24"/>
        </w:rPr>
        <w:t xml:space="preserve"> Main Street</w:t>
      </w:r>
      <w:r w:rsidR="00CF3260">
        <w:rPr>
          <w:rFonts w:ascii="Century Gothic" w:hAnsi="Century Gothic" w:cstheme="majorHAnsi"/>
          <w:sz w:val="24"/>
          <w:szCs w:val="24"/>
        </w:rPr>
        <w:t xml:space="preserve"> </w:t>
      </w:r>
    </w:p>
    <w:p w14:paraId="59936021" w14:textId="1C8979D0" w:rsidR="00912431" w:rsidRPr="00C5371E" w:rsidRDefault="00912431" w:rsidP="006B005D">
      <w:pPr>
        <w:spacing w:after="0"/>
        <w:jc w:val="center"/>
        <w:rPr>
          <w:rFonts w:ascii="Century Gothic" w:hAnsi="Century Gothic" w:cstheme="majorHAnsi"/>
          <w:sz w:val="24"/>
          <w:szCs w:val="24"/>
        </w:rPr>
      </w:pPr>
      <w:r w:rsidRPr="00C5371E">
        <w:rPr>
          <w:rFonts w:ascii="Century Gothic" w:hAnsi="Century Gothic" w:cstheme="majorHAnsi"/>
          <w:sz w:val="24"/>
          <w:szCs w:val="24"/>
        </w:rPr>
        <w:t xml:space="preserve">110 W. Lincoln Way, PO Box 13 </w:t>
      </w:r>
      <w:r w:rsidRPr="00C5371E">
        <w:rPr>
          <w:rFonts w:ascii="Century Gothic" w:hAnsi="Century Gothic" w:cstheme="majorHAnsi"/>
          <w:sz w:val="24"/>
          <w:szCs w:val="24"/>
        </w:rPr>
        <w:sym w:font="Wingdings" w:char="F0A7"/>
      </w:r>
      <w:r w:rsidRPr="00C5371E">
        <w:rPr>
          <w:rFonts w:ascii="Century Gothic" w:hAnsi="Century Gothic" w:cstheme="majorHAnsi"/>
          <w:sz w:val="24"/>
          <w:szCs w:val="24"/>
        </w:rPr>
        <w:t xml:space="preserve"> Jefferson, IA 50129</w:t>
      </w:r>
    </w:p>
    <w:p w14:paraId="73836956" w14:textId="69E8D3AA" w:rsidR="00912431" w:rsidRPr="00C5371E" w:rsidRDefault="00912431" w:rsidP="006B005D">
      <w:pPr>
        <w:spacing w:after="0"/>
        <w:jc w:val="center"/>
        <w:rPr>
          <w:rStyle w:val="Hyperlink"/>
          <w:rFonts w:ascii="Century Gothic" w:hAnsi="Century Gothic" w:cstheme="majorHAnsi"/>
          <w:sz w:val="24"/>
          <w:szCs w:val="24"/>
        </w:rPr>
      </w:pPr>
      <w:r w:rsidRPr="00C5371E">
        <w:rPr>
          <w:rFonts w:ascii="Century Gothic" w:hAnsi="Century Gothic" w:cstheme="majorHAnsi"/>
          <w:sz w:val="24"/>
          <w:szCs w:val="24"/>
        </w:rPr>
        <w:t xml:space="preserve">515.386.3585 </w:t>
      </w:r>
      <w:r w:rsidRPr="00C5371E">
        <w:rPr>
          <w:rFonts w:ascii="Century Gothic" w:hAnsi="Century Gothic" w:cstheme="majorHAnsi"/>
          <w:sz w:val="24"/>
          <w:szCs w:val="24"/>
        </w:rPr>
        <w:sym w:font="Wingdings" w:char="F0A7"/>
      </w:r>
      <w:r w:rsidRPr="00C5371E">
        <w:rPr>
          <w:rFonts w:ascii="Century Gothic" w:hAnsi="Century Gothic" w:cstheme="majorHAnsi"/>
          <w:sz w:val="24"/>
          <w:szCs w:val="24"/>
        </w:rPr>
        <w:t xml:space="preserve"> </w:t>
      </w:r>
      <w:hyperlink r:id="rId6" w:history="1">
        <w:r w:rsidR="0006100D" w:rsidRPr="00695A9D">
          <w:rPr>
            <w:rStyle w:val="Hyperlink"/>
            <w:rFonts w:ascii="Century Gothic" w:hAnsi="Century Gothic" w:cstheme="majorHAnsi"/>
            <w:sz w:val="24"/>
            <w:szCs w:val="24"/>
          </w:rPr>
          <w:t>artonthesquarejefferson@gmail.com</w:t>
        </w:r>
      </w:hyperlink>
      <w:r w:rsidR="00CF3260">
        <w:rPr>
          <w:rStyle w:val="Hyperlink"/>
          <w:rFonts w:ascii="Century Gothic" w:hAnsi="Century Gothic" w:cstheme="majorHAnsi"/>
          <w:sz w:val="24"/>
          <w:szCs w:val="24"/>
        </w:rPr>
        <w:t xml:space="preserve"> </w:t>
      </w:r>
      <w:r w:rsidR="00CF3260">
        <w:rPr>
          <w:rStyle w:val="Hyperlink"/>
          <w:rFonts w:ascii="Century Gothic" w:hAnsi="Century Gothic" w:cstheme="majorHAnsi"/>
          <w:sz w:val="24"/>
          <w:szCs w:val="24"/>
        </w:rPr>
        <w:sym w:font="Wingdings" w:char="F0A7"/>
      </w:r>
      <w:r w:rsidR="00CF3260">
        <w:rPr>
          <w:rStyle w:val="Hyperlink"/>
          <w:rFonts w:ascii="Century Gothic" w:hAnsi="Century Gothic" w:cstheme="majorHAnsi"/>
          <w:sz w:val="24"/>
          <w:szCs w:val="24"/>
        </w:rPr>
        <w:t xml:space="preserve"> </w:t>
      </w:r>
      <w:hyperlink r:id="rId7" w:history="1">
        <w:r w:rsidRPr="00C5371E">
          <w:rPr>
            <w:rStyle w:val="Hyperlink"/>
            <w:rFonts w:ascii="Century Gothic" w:hAnsi="Century Gothic" w:cstheme="majorHAnsi"/>
            <w:sz w:val="24"/>
            <w:szCs w:val="24"/>
          </w:rPr>
          <w:t>www.jeffersonmatters.org</w:t>
        </w:r>
      </w:hyperlink>
    </w:p>
    <w:tbl>
      <w:tblPr>
        <w:tblStyle w:val="TableGrid"/>
        <w:tblW w:w="0" w:type="auto"/>
        <w:jc w:val="center"/>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ook w:val="04A0" w:firstRow="1" w:lastRow="0" w:firstColumn="1" w:lastColumn="0" w:noHBand="0" w:noVBand="1"/>
      </w:tblPr>
      <w:tblGrid>
        <w:gridCol w:w="9350"/>
      </w:tblGrid>
      <w:tr w:rsidR="00EE7223" w14:paraId="421A4178" w14:textId="77777777" w:rsidTr="00EE7223">
        <w:trPr>
          <w:jc w:val="center"/>
        </w:trPr>
        <w:tc>
          <w:tcPr>
            <w:tcW w:w="9350" w:type="dxa"/>
            <w:vAlign w:val="center"/>
          </w:tcPr>
          <w:p w14:paraId="545E561C" w14:textId="0A880E1C" w:rsidR="00EE7223" w:rsidRPr="00EE7223" w:rsidRDefault="00EE7223" w:rsidP="00EE7223">
            <w:pPr>
              <w:jc w:val="center"/>
              <w:rPr>
                <w:rFonts w:ascii="Century Gothic" w:hAnsi="Century Gothic" w:cstheme="majorHAnsi"/>
                <w:b/>
                <w:sz w:val="28"/>
                <w:szCs w:val="28"/>
              </w:rPr>
            </w:pPr>
            <w:r>
              <w:rPr>
                <w:rFonts w:ascii="Century Gothic" w:hAnsi="Century Gothic" w:cstheme="majorHAnsi"/>
                <w:b/>
                <w:sz w:val="28"/>
                <w:szCs w:val="28"/>
              </w:rPr>
              <w:sym w:font="Wingdings" w:char="F0AE"/>
            </w:r>
            <w:r>
              <w:rPr>
                <w:rFonts w:ascii="Century Gothic" w:hAnsi="Century Gothic" w:cstheme="majorHAnsi"/>
                <w:b/>
                <w:sz w:val="28"/>
                <w:szCs w:val="28"/>
              </w:rPr>
              <w:t xml:space="preserve"> </w:t>
            </w:r>
            <w:r w:rsidRPr="00EE7223">
              <w:rPr>
                <w:rFonts w:ascii="Century Gothic" w:hAnsi="Century Gothic" w:cstheme="majorHAnsi"/>
                <w:b/>
                <w:sz w:val="28"/>
                <w:szCs w:val="28"/>
              </w:rPr>
              <w:t>Rules &amp; Important Information</w:t>
            </w:r>
            <w:r>
              <w:rPr>
                <w:rFonts w:ascii="Century Gothic" w:hAnsi="Century Gothic" w:cstheme="majorHAnsi"/>
                <w:b/>
                <w:sz w:val="28"/>
                <w:szCs w:val="28"/>
              </w:rPr>
              <w:t xml:space="preserve"> </w:t>
            </w:r>
            <w:r>
              <w:rPr>
                <w:rFonts w:ascii="Century Gothic" w:hAnsi="Century Gothic" w:cstheme="majorHAnsi"/>
                <w:b/>
                <w:sz w:val="28"/>
                <w:szCs w:val="28"/>
              </w:rPr>
              <w:sym w:font="Wingdings" w:char="F0AE"/>
            </w:r>
          </w:p>
        </w:tc>
      </w:tr>
    </w:tbl>
    <w:p w14:paraId="16F562A0" w14:textId="5ED34C4F" w:rsidR="00EE7223" w:rsidRDefault="00EE7223" w:rsidP="006B005D">
      <w:pPr>
        <w:spacing w:after="0"/>
        <w:jc w:val="center"/>
        <w:rPr>
          <w:rFonts w:ascii="Century Gothic" w:hAnsi="Century Gothic" w:cstheme="majorHAnsi"/>
          <w:sz w:val="28"/>
          <w:szCs w:val="28"/>
        </w:rPr>
      </w:pPr>
    </w:p>
    <w:p w14:paraId="34994597" w14:textId="07E8B26F" w:rsidR="00CF3260" w:rsidRPr="00CF3260" w:rsidRDefault="00EE7223" w:rsidP="004822D6">
      <w:pPr>
        <w:pStyle w:val="ListParagraph"/>
        <w:numPr>
          <w:ilvl w:val="0"/>
          <w:numId w:val="1"/>
        </w:numPr>
        <w:spacing w:after="0"/>
        <w:rPr>
          <w:rFonts w:ascii="Century Gothic" w:hAnsi="Century Gothic" w:cstheme="majorHAnsi"/>
          <w:sz w:val="16"/>
          <w:szCs w:val="16"/>
        </w:rPr>
      </w:pPr>
      <w:r w:rsidRPr="00E77965">
        <w:rPr>
          <w:rFonts w:ascii="Century Gothic" w:hAnsi="Century Gothic" w:cstheme="majorHAnsi"/>
        </w:rPr>
        <w:t xml:space="preserve">This is a juried event. Pictures must be submitted and must represent actual items to be sold at the show by all vendors. Pictures must also demonstrate how the items are crafted by exhibitor. Digital photos or web links may be emailed to </w:t>
      </w:r>
      <w:hyperlink r:id="rId8" w:history="1">
        <w:r w:rsidR="00E77965" w:rsidRPr="00E77965">
          <w:rPr>
            <w:rStyle w:val="Hyperlink"/>
            <w:rFonts w:ascii="Century Gothic" w:hAnsi="Century Gothic" w:cstheme="majorHAnsi"/>
          </w:rPr>
          <w:t>artonthesquarejefferson@gmail.com</w:t>
        </w:r>
      </w:hyperlink>
      <w:r w:rsidRPr="00E77965">
        <w:rPr>
          <w:rFonts w:ascii="Century Gothic" w:hAnsi="Century Gothic" w:cstheme="majorHAnsi"/>
        </w:rPr>
        <w:t xml:space="preserve"> </w:t>
      </w:r>
    </w:p>
    <w:p w14:paraId="77AAA1E4" w14:textId="77777777" w:rsidR="00E77965" w:rsidRPr="00E77965" w:rsidRDefault="00E77965" w:rsidP="00E77965">
      <w:pPr>
        <w:spacing w:after="0"/>
        <w:ind w:left="360"/>
        <w:rPr>
          <w:rFonts w:ascii="Century Gothic" w:hAnsi="Century Gothic" w:cstheme="majorHAnsi"/>
          <w:sz w:val="16"/>
          <w:szCs w:val="16"/>
        </w:rPr>
      </w:pPr>
    </w:p>
    <w:p w14:paraId="7DE9C702" w14:textId="1EF6A87E" w:rsidR="00CF3260" w:rsidRPr="00CF3260" w:rsidRDefault="00EE7223" w:rsidP="00EE7223">
      <w:pPr>
        <w:pStyle w:val="ListParagraph"/>
        <w:numPr>
          <w:ilvl w:val="0"/>
          <w:numId w:val="1"/>
        </w:numPr>
        <w:spacing w:after="0"/>
        <w:rPr>
          <w:rFonts w:ascii="Century Gothic" w:hAnsi="Century Gothic" w:cstheme="majorHAnsi"/>
          <w:sz w:val="16"/>
          <w:szCs w:val="16"/>
        </w:rPr>
      </w:pPr>
      <w:r w:rsidRPr="00CF3260">
        <w:rPr>
          <w:rFonts w:ascii="Century Gothic" w:hAnsi="Century Gothic" w:cstheme="majorHAnsi"/>
        </w:rPr>
        <w:t>Sales tax is 7% in Greene County, Iowa.</w:t>
      </w:r>
      <w:r w:rsidR="00CF3260">
        <w:rPr>
          <w:rFonts w:ascii="Century Gothic" w:hAnsi="Century Gothic" w:cstheme="majorHAnsi"/>
        </w:rPr>
        <w:br/>
      </w:r>
    </w:p>
    <w:p w14:paraId="770849C6" w14:textId="2A693D99" w:rsidR="00EE7223" w:rsidRPr="00CF3260" w:rsidRDefault="00EE7223" w:rsidP="00EE7223">
      <w:pPr>
        <w:pStyle w:val="ListParagraph"/>
        <w:numPr>
          <w:ilvl w:val="0"/>
          <w:numId w:val="1"/>
        </w:numPr>
        <w:spacing w:after="0"/>
        <w:rPr>
          <w:rFonts w:ascii="Century Gothic" w:hAnsi="Century Gothic" w:cstheme="majorHAnsi"/>
          <w:sz w:val="16"/>
          <w:szCs w:val="16"/>
        </w:rPr>
      </w:pPr>
      <w:r w:rsidRPr="00CF3260">
        <w:rPr>
          <w:rFonts w:ascii="Century Gothic" w:hAnsi="Century Gothic" w:cstheme="majorHAnsi"/>
        </w:rPr>
        <w:t>All exhibitors must have an Iowa State sales tax number on file in our office. Vendor records are submitted to the Iowa Dept. of Revenue after every show. For a permanent sales tax number, please contact the Iowa Dept. of Revenue and Finance at 515-281-8966.</w:t>
      </w:r>
      <w:r w:rsidR="00CF3260">
        <w:rPr>
          <w:rFonts w:ascii="Century Gothic" w:hAnsi="Century Gothic" w:cstheme="majorHAnsi"/>
        </w:rPr>
        <w:br/>
      </w:r>
    </w:p>
    <w:p w14:paraId="4546FFFB" w14:textId="76C55149" w:rsidR="00CF3260" w:rsidRPr="00CF3260" w:rsidRDefault="00EE7223" w:rsidP="00EE7223">
      <w:pPr>
        <w:pStyle w:val="ListParagraph"/>
        <w:numPr>
          <w:ilvl w:val="0"/>
          <w:numId w:val="1"/>
        </w:numPr>
        <w:spacing w:after="0"/>
        <w:rPr>
          <w:rFonts w:ascii="Century Gothic" w:hAnsi="Century Gothic" w:cstheme="majorHAnsi"/>
          <w:sz w:val="16"/>
          <w:szCs w:val="16"/>
        </w:rPr>
      </w:pPr>
      <w:bookmarkStart w:id="0" w:name="_GoBack"/>
      <w:r w:rsidRPr="00B37AED">
        <w:rPr>
          <w:rFonts w:ascii="Century Gothic" w:hAnsi="Century Gothic" w:cstheme="majorHAnsi"/>
          <w:b/>
          <w:bCs/>
        </w:rPr>
        <w:t>The show is held rain or shine.</w:t>
      </w:r>
      <w:r w:rsidRPr="00CF3260">
        <w:rPr>
          <w:rFonts w:ascii="Century Gothic" w:hAnsi="Century Gothic" w:cstheme="majorHAnsi"/>
        </w:rPr>
        <w:t xml:space="preserve"> </w:t>
      </w:r>
      <w:bookmarkEnd w:id="0"/>
      <w:r w:rsidRPr="00CF3260">
        <w:rPr>
          <w:rFonts w:ascii="Century Gothic" w:hAnsi="Century Gothic" w:cstheme="majorHAnsi"/>
        </w:rPr>
        <w:t xml:space="preserve">No refunds will be granted. If you must leave early, please contact the organizer with the reason. We ask that packing of materials, </w:t>
      </w:r>
      <w:r w:rsidR="00CF3260" w:rsidRPr="00CF3260">
        <w:rPr>
          <w:rFonts w:ascii="Century Gothic" w:hAnsi="Century Gothic" w:cstheme="majorHAnsi"/>
        </w:rPr>
        <w:t>teardown</w:t>
      </w:r>
      <w:r w:rsidRPr="00CF3260">
        <w:rPr>
          <w:rFonts w:ascii="Century Gothic" w:hAnsi="Century Gothic" w:cstheme="majorHAnsi"/>
        </w:rPr>
        <w:t xml:space="preserve"> or loading of belongings no</w:t>
      </w:r>
      <w:r w:rsidR="00CF3260" w:rsidRPr="00CF3260">
        <w:rPr>
          <w:rFonts w:ascii="Century Gothic" w:hAnsi="Century Gothic" w:cstheme="majorHAnsi"/>
        </w:rPr>
        <w:t>t</w:t>
      </w:r>
      <w:r w:rsidRPr="00CF3260">
        <w:rPr>
          <w:rFonts w:ascii="Century Gothic" w:hAnsi="Century Gothic" w:cstheme="majorHAnsi"/>
        </w:rPr>
        <w:t xml:space="preserve"> begin prior to 3:</w:t>
      </w:r>
      <w:r w:rsidR="00E77965">
        <w:rPr>
          <w:rFonts w:ascii="Century Gothic" w:hAnsi="Century Gothic" w:cstheme="majorHAnsi"/>
        </w:rPr>
        <w:t>30</w:t>
      </w:r>
      <w:r w:rsidRPr="00CF3260">
        <w:rPr>
          <w:rFonts w:ascii="Century Gothic" w:hAnsi="Century Gothic" w:cstheme="majorHAnsi"/>
        </w:rPr>
        <w:t xml:space="preserve"> p.m. the day of the event. </w:t>
      </w:r>
      <w:r w:rsidR="00CF3260">
        <w:rPr>
          <w:rFonts w:ascii="Century Gothic" w:hAnsi="Century Gothic" w:cstheme="majorHAnsi"/>
        </w:rPr>
        <w:br/>
      </w:r>
    </w:p>
    <w:p w14:paraId="0280E259" w14:textId="4A5763E3" w:rsidR="00EE7223" w:rsidRPr="00CF3260" w:rsidRDefault="00EE7223" w:rsidP="00EE7223">
      <w:pPr>
        <w:pStyle w:val="ListParagraph"/>
        <w:numPr>
          <w:ilvl w:val="0"/>
          <w:numId w:val="1"/>
        </w:numPr>
        <w:spacing w:after="0"/>
        <w:rPr>
          <w:rFonts w:ascii="Century Gothic" w:hAnsi="Century Gothic" w:cstheme="majorHAnsi"/>
          <w:sz w:val="16"/>
          <w:szCs w:val="16"/>
        </w:rPr>
      </w:pPr>
      <w:r w:rsidRPr="00CF3260">
        <w:rPr>
          <w:rFonts w:ascii="Century Gothic" w:hAnsi="Century Gothic" w:cstheme="majorHAnsi"/>
        </w:rPr>
        <w:t xml:space="preserve">All spaces are 10’ x 10’. If your canopy is larger, you will need to rent additional space. All merchandise must be </w:t>
      </w:r>
      <w:r w:rsidR="00992CAC">
        <w:rPr>
          <w:rFonts w:ascii="Century Gothic" w:hAnsi="Century Gothic" w:cstheme="majorHAnsi"/>
        </w:rPr>
        <w:t>within</w:t>
      </w:r>
      <w:r w:rsidRPr="00CF3260">
        <w:rPr>
          <w:rFonts w:ascii="Century Gothic" w:hAnsi="Century Gothic" w:cstheme="majorHAnsi"/>
        </w:rPr>
        <w:t xml:space="preserve"> your assigned space. </w:t>
      </w:r>
      <w:r w:rsidR="009263C6" w:rsidRPr="00CF3260">
        <w:rPr>
          <w:rFonts w:ascii="Century Gothic" w:hAnsi="Century Gothic" w:cstheme="majorHAnsi"/>
        </w:rPr>
        <w:t>Spaces will be located on the Greene County Courthouse grounds.</w:t>
      </w:r>
      <w:r w:rsidR="00CF3260">
        <w:rPr>
          <w:rFonts w:ascii="Century Gothic" w:hAnsi="Century Gothic" w:cstheme="majorHAnsi"/>
        </w:rPr>
        <w:br/>
      </w:r>
    </w:p>
    <w:p w14:paraId="5F8A7B93" w14:textId="242C84E9" w:rsidR="009263C6" w:rsidRPr="00CF3260" w:rsidRDefault="00E77965" w:rsidP="00EE7223">
      <w:pPr>
        <w:pStyle w:val="ListParagraph"/>
        <w:numPr>
          <w:ilvl w:val="0"/>
          <w:numId w:val="1"/>
        </w:numPr>
        <w:spacing w:after="0"/>
        <w:rPr>
          <w:rFonts w:ascii="Century Gothic" w:hAnsi="Century Gothic" w:cstheme="majorHAnsi"/>
          <w:sz w:val="16"/>
          <w:szCs w:val="16"/>
        </w:rPr>
      </w:pPr>
      <w:r>
        <w:rPr>
          <w:rFonts w:ascii="Century Gothic" w:hAnsi="Century Gothic" w:cstheme="majorHAnsi"/>
        </w:rPr>
        <w:t>All</w:t>
      </w:r>
      <w:r w:rsidR="009263C6">
        <w:rPr>
          <w:rFonts w:ascii="Century Gothic" w:hAnsi="Century Gothic" w:cstheme="majorHAnsi"/>
        </w:rPr>
        <w:t xml:space="preserve"> items must be hand crafted by the exhibitor. Jurors will visit each booth prior to event start. We reserve the right to dismiss vendors from the show if found to be noncompliant with this rule and no refund will be given. </w:t>
      </w:r>
      <w:r w:rsidR="00CF3260">
        <w:rPr>
          <w:rFonts w:ascii="Century Gothic" w:hAnsi="Century Gothic" w:cstheme="majorHAnsi"/>
        </w:rPr>
        <w:br/>
      </w:r>
    </w:p>
    <w:p w14:paraId="4F04D69E" w14:textId="7CD17306" w:rsidR="009263C6" w:rsidRPr="00CF3260" w:rsidRDefault="009263C6" w:rsidP="00EE7223">
      <w:pPr>
        <w:pStyle w:val="ListParagraph"/>
        <w:numPr>
          <w:ilvl w:val="0"/>
          <w:numId w:val="1"/>
        </w:numPr>
        <w:spacing w:after="0"/>
        <w:rPr>
          <w:rFonts w:ascii="Century Gothic" w:hAnsi="Century Gothic" w:cstheme="majorHAnsi"/>
          <w:sz w:val="16"/>
          <w:szCs w:val="16"/>
        </w:rPr>
      </w:pPr>
      <w:r>
        <w:rPr>
          <w:rFonts w:ascii="Century Gothic" w:hAnsi="Century Gothic" w:cstheme="majorHAnsi"/>
        </w:rPr>
        <w:t xml:space="preserve">Vendor registration takes place at the Welcome Center, </w:t>
      </w:r>
      <w:r w:rsidR="00E77965">
        <w:rPr>
          <w:rFonts w:ascii="Century Gothic" w:hAnsi="Century Gothic" w:cstheme="majorHAnsi"/>
        </w:rPr>
        <w:t>201 E</w:t>
      </w:r>
      <w:r>
        <w:rPr>
          <w:rFonts w:ascii="Century Gothic" w:hAnsi="Century Gothic" w:cstheme="majorHAnsi"/>
        </w:rPr>
        <w:t xml:space="preserve"> Lincoln Way on the SE corner of the square. Set up may begin by 7:00 a.m. the day of the event. For ease of set up, all exhibitors will be asked to move vehicles after unloading to allow visitors easy access to the fair. Parking is located just off the square</w:t>
      </w:r>
      <w:r w:rsidR="00C5371E">
        <w:rPr>
          <w:rFonts w:ascii="Century Gothic" w:hAnsi="Century Gothic" w:cstheme="majorHAnsi"/>
        </w:rPr>
        <w:t>.</w:t>
      </w:r>
      <w:r w:rsidR="00CF3260">
        <w:rPr>
          <w:rFonts w:ascii="Century Gothic" w:hAnsi="Century Gothic" w:cstheme="majorHAnsi"/>
        </w:rPr>
        <w:br/>
      </w:r>
    </w:p>
    <w:p w14:paraId="39CF4D37" w14:textId="29940BC2" w:rsidR="00C5371E" w:rsidRDefault="00C5371E" w:rsidP="00EE7223">
      <w:pPr>
        <w:pStyle w:val="ListParagraph"/>
        <w:numPr>
          <w:ilvl w:val="0"/>
          <w:numId w:val="1"/>
        </w:numPr>
        <w:spacing w:after="0"/>
        <w:rPr>
          <w:rFonts w:ascii="Century Gothic" w:hAnsi="Century Gothic" w:cstheme="majorHAnsi"/>
        </w:rPr>
      </w:pPr>
      <w:r>
        <w:rPr>
          <w:rFonts w:ascii="Century Gothic" w:hAnsi="Century Gothic" w:cstheme="majorHAnsi"/>
        </w:rPr>
        <w:t>Lodging:</w:t>
      </w:r>
    </w:p>
    <w:p w14:paraId="0D7476BA" w14:textId="4FEA1BED" w:rsidR="00C5371E" w:rsidRDefault="00C5371E" w:rsidP="00C5371E">
      <w:pPr>
        <w:pStyle w:val="ListParagraph"/>
        <w:numPr>
          <w:ilvl w:val="0"/>
          <w:numId w:val="2"/>
        </w:numPr>
        <w:spacing w:after="0"/>
        <w:rPr>
          <w:rFonts w:ascii="Century Gothic" w:hAnsi="Century Gothic" w:cstheme="majorHAnsi"/>
        </w:rPr>
      </w:pPr>
      <w:r>
        <w:rPr>
          <w:rFonts w:ascii="Century Gothic" w:hAnsi="Century Gothic" w:cstheme="majorHAnsi"/>
        </w:rPr>
        <w:t>Cobblestone Hotel &amp; Suites located next to Wild Rose Casino - 515-386-3535</w:t>
      </w:r>
    </w:p>
    <w:p w14:paraId="633E2C69" w14:textId="223C628C" w:rsidR="00C5371E" w:rsidRDefault="00C5371E" w:rsidP="00C5371E">
      <w:pPr>
        <w:pStyle w:val="ListParagraph"/>
        <w:numPr>
          <w:ilvl w:val="0"/>
          <w:numId w:val="2"/>
        </w:numPr>
        <w:spacing w:after="0"/>
        <w:rPr>
          <w:rFonts w:ascii="Century Gothic" w:hAnsi="Century Gothic" w:cstheme="majorHAnsi"/>
        </w:rPr>
      </w:pPr>
      <w:r>
        <w:rPr>
          <w:rFonts w:ascii="Century Gothic" w:hAnsi="Century Gothic" w:cstheme="majorHAnsi"/>
        </w:rPr>
        <w:t>Super 8 on Hwy 30 – 515-386-2464</w:t>
      </w:r>
    </w:p>
    <w:p w14:paraId="019D5886" w14:textId="4B97A1F9" w:rsidR="00C5371E" w:rsidRDefault="00C5371E" w:rsidP="00C5371E">
      <w:pPr>
        <w:pStyle w:val="ListParagraph"/>
        <w:numPr>
          <w:ilvl w:val="0"/>
          <w:numId w:val="2"/>
        </w:numPr>
        <w:spacing w:after="0"/>
        <w:rPr>
          <w:rFonts w:ascii="Century Gothic" w:hAnsi="Century Gothic" w:cstheme="majorHAnsi"/>
        </w:rPr>
      </w:pPr>
      <w:r>
        <w:rPr>
          <w:rFonts w:ascii="Century Gothic" w:hAnsi="Century Gothic" w:cstheme="majorHAnsi"/>
        </w:rPr>
        <w:t>Redwood Motel on Hwy 30 – 515-386-3116</w:t>
      </w:r>
    </w:p>
    <w:p w14:paraId="132D995D" w14:textId="23291EDD" w:rsidR="00C5371E" w:rsidRPr="00CF3260" w:rsidRDefault="00C5371E" w:rsidP="00C5371E">
      <w:pPr>
        <w:pStyle w:val="ListParagraph"/>
        <w:numPr>
          <w:ilvl w:val="0"/>
          <w:numId w:val="2"/>
        </w:numPr>
        <w:spacing w:after="0"/>
        <w:rPr>
          <w:rFonts w:ascii="Century Gothic" w:hAnsi="Century Gothic" w:cstheme="majorHAnsi"/>
          <w:sz w:val="16"/>
          <w:szCs w:val="16"/>
        </w:rPr>
      </w:pPr>
      <w:r>
        <w:rPr>
          <w:rFonts w:ascii="Century Gothic" w:hAnsi="Century Gothic" w:cstheme="majorHAnsi"/>
        </w:rPr>
        <w:t>Several Airbnb options</w:t>
      </w:r>
      <w:r>
        <w:rPr>
          <w:rFonts w:ascii="Century Gothic" w:hAnsi="Century Gothic" w:cstheme="majorHAnsi"/>
        </w:rPr>
        <w:br/>
      </w:r>
    </w:p>
    <w:p w14:paraId="7B91C399" w14:textId="590820CF" w:rsidR="00C5371E" w:rsidRPr="00C5371E" w:rsidRDefault="00C5371E" w:rsidP="00C5371E">
      <w:pPr>
        <w:pStyle w:val="ListParagraph"/>
        <w:numPr>
          <w:ilvl w:val="0"/>
          <w:numId w:val="1"/>
        </w:numPr>
        <w:spacing w:after="0"/>
        <w:rPr>
          <w:rFonts w:ascii="Century Gothic" w:hAnsi="Century Gothic" w:cstheme="majorHAnsi"/>
        </w:rPr>
      </w:pPr>
      <w:r>
        <w:rPr>
          <w:rFonts w:ascii="Century Gothic" w:hAnsi="Century Gothic" w:cstheme="majorHAnsi"/>
        </w:rPr>
        <w:t>NO SMOKING within show grounds.</w:t>
      </w:r>
    </w:p>
    <w:sectPr w:rsidR="00C5371E" w:rsidRPr="00C5371E" w:rsidSect="00CF3260">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358DE"/>
    <w:multiLevelType w:val="hybridMultilevel"/>
    <w:tmpl w:val="3E9A1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57964C5"/>
    <w:multiLevelType w:val="hybridMultilevel"/>
    <w:tmpl w:val="41B89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BC58D5"/>
    <w:multiLevelType w:val="hybridMultilevel"/>
    <w:tmpl w:val="7AC08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5D"/>
    <w:rsid w:val="0006100D"/>
    <w:rsid w:val="00216A21"/>
    <w:rsid w:val="005F7AD3"/>
    <w:rsid w:val="006B005D"/>
    <w:rsid w:val="008D523A"/>
    <w:rsid w:val="00912431"/>
    <w:rsid w:val="009263C6"/>
    <w:rsid w:val="0095645F"/>
    <w:rsid w:val="00992CAC"/>
    <w:rsid w:val="00AB19BC"/>
    <w:rsid w:val="00B37AED"/>
    <w:rsid w:val="00BB1EF2"/>
    <w:rsid w:val="00C5371E"/>
    <w:rsid w:val="00CF3260"/>
    <w:rsid w:val="00DC4611"/>
    <w:rsid w:val="00E77965"/>
    <w:rsid w:val="00EE7223"/>
    <w:rsid w:val="00FD7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9D18A"/>
  <w15:chartTrackingRefBased/>
  <w15:docId w15:val="{3860A552-A990-4BE0-820E-C05810FE2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431"/>
    <w:rPr>
      <w:color w:val="0563C1" w:themeColor="hyperlink"/>
      <w:u w:val="single"/>
    </w:rPr>
  </w:style>
  <w:style w:type="character" w:styleId="UnresolvedMention">
    <w:name w:val="Unresolved Mention"/>
    <w:basedOn w:val="DefaultParagraphFont"/>
    <w:uiPriority w:val="99"/>
    <w:semiHidden/>
    <w:unhideWhenUsed/>
    <w:rsid w:val="00912431"/>
    <w:rPr>
      <w:color w:val="605E5C"/>
      <w:shd w:val="clear" w:color="auto" w:fill="E1DFDD"/>
    </w:rPr>
  </w:style>
  <w:style w:type="table" w:styleId="TableGrid">
    <w:name w:val="Table Grid"/>
    <w:basedOn w:val="TableNormal"/>
    <w:uiPriority w:val="39"/>
    <w:rsid w:val="0021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7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onthesquarejefferson@gmail.com" TargetMode="External"/><Relationship Id="rId3" Type="http://schemas.openxmlformats.org/officeDocument/2006/relationships/settings" Target="settings.xml"/><Relationship Id="rId7" Type="http://schemas.openxmlformats.org/officeDocument/2006/relationships/hyperlink" Target="http://www.jeffersonmatt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onthesquarejefferson@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Showman</dc:creator>
  <cp:keywords/>
  <dc:description/>
  <cp:lastModifiedBy>Virginia Showman</cp:lastModifiedBy>
  <cp:revision>9</cp:revision>
  <dcterms:created xsi:type="dcterms:W3CDTF">2019-05-21T18:58:00Z</dcterms:created>
  <dcterms:modified xsi:type="dcterms:W3CDTF">2019-06-19T18:21:00Z</dcterms:modified>
</cp:coreProperties>
</file>